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b/>
          <w:bCs/>
          <w:color w:val="004AAD"/>
          <w:sz w:val="26"/>
          <w:szCs w:val="26"/>
        </w:rPr>
        <w:t xml:space="preserve">CEIP Capitulaciones de Santa Fe</w:t>
      </w:r>
    </w:p>
    <w:p>
      <w:pPr>
        <w:spacing w:after="60"/>
        <w:jc w:val="center"/>
      </w:pPr>
      <w:r>
        <w:rPr>
          <w:color w:val="555555"/>
          <w:sz w:val="20"/>
          <w:szCs w:val="20"/>
        </w:rPr>
        <w:t xml:space="preserve">Anexo al Plan de Centro · Proyecto Educativo · Apartado E.7</w:t>
      </w:r>
    </w:p>
    <w:p>
      <w:pPr>
        <w:spacing w:after="40"/>
        <w:jc w:val="center"/>
      </w:pPr>
      <w:r>
        <w:rPr>
          <w:b/>
          <w:bCs/>
          <w:color w:val="004AAD"/>
          <w:sz w:val="40"/>
          <w:szCs w:val="40"/>
        </w:rPr>
        <w:t xml:space="preserve">Criterios de promoción del alumnado</w:t>
      </w:r>
    </w:p>
    <w:p>
      <w:pPr>
        <w:pBdr>
          <w:bottom w:val="single" w:color="004AAD" w:sz="8"/>
        </w:pBdr>
        <w:spacing w:after="120"/>
        <w:jc w:val="center"/>
      </w:pPr>
      <w:r>
        <w:rPr>
          <w:sz w:val="22"/>
          <w:szCs w:val="22"/>
        </w:rPr>
        <w:t xml:space="preserve">Finales de ciclo: 2.º, 4.º y 6.º de Educación Primaria</w:t>
      </w:r>
    </w:p>
    <w:p>
      <w:pPr>
        <w:spacing w:after="160"/>
      </w:pPr>
      <w:r>
        <w:rPr>
          <w:i/>
          <w:iCs/>
          <w:color w:val="555555"/>
          <w:sz w:val="18"/>
          <w:szCs w:val="18"/>
        </w:rPr>
        <w:t xml:space="preserve">Elaborado a partir del apartado E (Procedimientos y criterios de evaluación y promoción del alumnado) del Proyecto Educativo del centro. Conforme a la Orden de 30 de mayo de 2023 y al Decreto 101/2023 (LOMLOE, Andalucía). La promoción se decide únicamente al finalizar cada ciclo, nunca en los cursos impares.</w:t>
      </w:r>
    </w:p>
    <w:p>
      <w:pPr>
        <w:pStyle w:val="Heading1"/>
        <w:spacing w:after="160" w:before="240"/>
      </w:pPr>
      <w:r>
        <w:rPr>
          <w:b/>
          <w:bCs/>
          <w:color w:val="004AAD"/>
          <w:sz w:val="28"/>
          <w:szCs w:val="28"/>
        </w:rPr>
        <w:t xml:space="preserve">2.º de Educación Primaria (final del primer ciclo)</w:t>
      </w:r>
    </w:p>
    <w:p>
      <w:pPr>
        <w:pStyle w:val="Heading2"/>
        <w:spacing w:after="120" w:before="200"/>
      </w:pPr>
      <w:r>
        <w:rPr>
          <w:b/>
          <w:bCs/>
          <w:color w:val="004AAD"/>
          <w:sz w:val="23"/>
          <w:szCs w:val="23"/>
        </w:rPr>
        <w:t xml:space="preserve">1. Marco normativo y carácter de la decisión</w:t>
      </w:r>
    </w:p>
    <w:p>
      <w:pPr>
        <w:spacing w:after="120"/>
      </w:pPr>
      <w:r>
        <w:rPr>
          <w:sz w:val="20"/>
          <w:szCs w:val="20"/>
        </w:rPr>
        <w:t xml:space="preserve">La decisión de promoción se adopta al finalizar el primer ciclo, es decir, al término de 2.º curso. La adopta el equipo docente de manera colegiada, tomando especialmente en consideración el criterio del tutor o tutora y con el asesoramiento del equipo de orientación educativa. Si no hay consenso, la decisión se toma por mayoría cualificada de dos tercios. Referencias: artículo 16 de la Orden de 30 de mayo de 2023 y Decreto 101/2023, de 9 de mayo.</w:t>
      </w:r>
    </w:p>
    <w:p>
      <w:pPr>
        <w:pStyle w:val="Heading2"/>
        <w:spacing w:after="120" w:before="200"/>
      </w:pPr>
      <w:r>
        <w:rPr>
          <w:b/>
          <w:bCs/>
          <w:color w:val="004AAD"/>
          <w:sz w:val="23"/>
          <w:szCs w:val="23"/>
        </w:rPr>
        <w:t xml:space="preserve">2. Criterios de promoción: regla de tres pasos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900"/>
        <w:gridCol w:w="4300"/>
        <w:gridCol w:w="3300"/>
        <w:gridCol w:w="1500"/>
      </w:tblGrid>
      <w:tr>
        <w:trPr>
          <w:tblHeader/>
        </w:trPr>
        <w:tc>
          <w:tcPr>
            <w:tcW w:type="dxa" w:w="900"/>
            <w:shd w:fill="004AAD" w:val="clear"/>
          </w:tcPr>
          <w:p>
            <w:pPr>
              <w:jc w:val="center"/>
            </w:pPr>
            <w:r>
              <w:rPr>
                <w:b/>
                <w:bCs/>
                <w:color w:val="FFFFFF"/>
                <w:sz w:val="19"/>
                <w:szCs w:val="19"/>
              </w:rPr>
              <w:t xml:space="preserve">Paso</w:t>
            </w:r>
          </w:p>
        </w:tc>
        <w:tc>
          <w:tcPr>
            <w:tcW w:type="dxa" w:w="4300"/>
            <w:shd w:fill="004AAD" w:val="clear"/>
          </w:tcPr>
          <w:p>
            <w:pPr>
              <w:jc w:val="left"/>
            </w:pPr>
            <w:r>
              <w:rPr>
                <w:b/>
                <w:bCs/>
                <w:color w:val="FFFFFF"/>
                <w:sz w:val="19"/>
                <w:szCs w:val="19"/>
              </w:rPr>
              <w:t xml:space="preserve">Condición que se comprueba</w:t>
            </w:r>
          </w:p>
        </w:tc>
        <w:tc>
          <w:tcPr>
            <w:tcW w:type="dxa" w:w="3300"/>
            <w:shd w:fill="004AAD" w:val="clear"/>
          </w:tcPr>
          <w:p>
            <w:pPr>
              <w:jc w:val="left"/>
            </w:pPr>
            <w:r>
              <w:rPr>
                <w:b/>
                <w:bCs/>
                <w:color w:val="FFFFFF"/>
                <w:sz w:val="19"/>
                <w:szCs w:val="19"/>
              </w:rPr>
              <w:t xml:space="preserve">Decisión</w:t>
            </w:r>
          </w:p>
        </w:tc>
        <w:tc>
          <w:tcPr>
            <w:tcW w:type="dxa" w:w="1500"/>
            <w:shd w:fill="004AAD" w:val="clear"/>
          </w:tcPr>
          <w:p>
            <w:pPr>
              <w:jc w:val="center"/>
            </w:pPr>
            <w:r>
              <w:rPr>
                <w:b/>
                <w:bCs/>
                <w:color w:val="FFFFFF"/>
                <w:sz w:val="19"/>
                <w:szCs w:val="19"/>
              </w:rPr>
              <w:t xml:space="preserve">¿Se cumple?</w:t>
            </w:r>
          </w:p>
        </w:tc>
      </w:tr>
      <w:tr>
        <w:tc>
          <w:tcPr>
            <w:tcW w:type="dxa" w:w="900"/>
            <w:shd w:fill="E8F0FE" w:val="clear"/>
          </w:tcPr>
          <w:p>
            <w:pPr>
              <w:jc w:val="center"/>
            </w:pPr>
            <w:r>
              <w:rPr>
                <w:b/>
                <w:bCs/>
                <w:color w:val="000000"/>
                <w:sz w:val="18"/>
                <w:szCs w:val="18"/>
              </w:rPr>
              <w:t xml:space="preserve">1</w:t>
            </w:r>
          </w:p>
        </w:tc>
        <w:tc>
          <w:tcPr>
            <w:tcW w:type="dxa" w:w="4300"/>
            <w:shd w:fill="E8F0FE" w:val="clear"/>
          </w:tcPr>
          <w:p>
            <w:pPr>
              <w:jc w:val="left"/>
            </w:pPr>
            <w:r>
              <w:rPr>
                <w:b w:val="false"/>
                <w:bCs w:val="false"/>
                <w:color w:val="000000"/>
                <w:sz w:val="18"/>
                <w:szCs w:val="18"/>
              </w:rPr>
              <w:t xml:space="preserve">Nivel de logro 2 o superior en los descriptores operativos del Perfil competencial del ciclo (conversión del centro: 1 Insuficiente · 2 Suficiente o Bien · 3 Notable · 4 Sobresaliente).</w:t>
            </w:r>
          </w:p>
        </w:tc>
        <w:tc>
          <w:tcPr>
            <w:tcW w:type="dxa" w:w="3300"/>
            <w:shd w:fill="E8F0FE" w:val="clear"/>
          </w:tcPr>
          <w:p>
            <w:pPr>
              <w:jc w:val="left"/>
            </w:pPr>
            <w:r>
              <w:rPr>
                <w:b/>
                <w:bCs/>
                <w:color w:val="000000"/>
                <w:sz w:val="18"/>
                <w:szCs w:val="18"/>
              </w:rPr>
              <w:t xml:space="preserve">PROMOCIONA.</w:t>
            </w:r>
          </w:p>
        </w:tc>
        <w:tc>
          <w:tcPr>
            <w:tcW w:type="dxa" w:w="1500"/>
            <w:shd w:fill="E8F0FE" w:val="clear"/>
          </w:tcPr>
          <w:p>
            <w:pPr>
              <w:jc w:val="center"/>
            </w:pPr>
            <w:r>
              <w:rPr>
                <w:b w:val="false"/>
                <w:bCs w:val="false"/>
                <w:color w:val="000000"/>
                <w:sz w:val="18"/>
                <w:szCs w:val="18"/>
              </w:rPr>
              <w:t xml:space="preserve">SÍ ☐   NO ☐</w:t>
            </w:r>
          </w:p>
        </w:tc>
      </w:tr>
      <w:tr>
        <w:tc>
          <w:tcPr>
            <w:tcW w:type="dxa" w:w="900"/>
            <w:shd w:fill="FFFFFF" w:val="clear"/>
          </w:tcPr>
          <w:p>
            <w:pPr>
              <w:jc w:val="center"/>
            </w:pPr>
            <w:r>
              <w:rPr>
                <w:b/>
                <w:bCs/>
                <w:color w:val="000000"/>
                <w:sz w:val="18"/>
                <w:szCs w:val="18"/>
              </w:rPr>
              <w:t xml:space="preserve">2</w:t>
            </w:r>
          </w:p>
        </w:tc>
        <w:tc>
          <w:tcPr>
            <w:tcW w:type="dxa" w:w="4300"/>
            <w:shd w:fill="FFFFFF" w:val="clear"/>
          </w:tcPr>
          <w:p>
            <w:pPr>
              <w:jc w:val="left"/>
            </w:pPr>
            <w:r>
              <w:rPr>
                <w:b w:val="false"/>
                <w:bCs w:val="false"/>
                <w:color w:val="000000"/>
                <w:sz w:val="18"/>
                <w:szCs w:val="18"/>
              </w:rPr>
              <w:t xml:space="preserve">Si no alcanza el Paso 1, comprobación conjunta de las dos condiciones del artículo 16.2 de la Orden de 30 de mayo de 2023: (a) evolución positiva en las actividades de evaluación propuestas y (b) participación con implicación, atención y esfuerzo tras aplicar las medidas de atención a la diversidad.</w:t>
            </w:r>
          </w:p>
        </w:tc>
        <w:tc>
          <w:tcPr>
            <w:tcW w:type="dxa" w:w="3300"/>
            <w:shd w:fill="FFFFFF" w:val="clear"/>
          </w:tcPr>
          <w:p>
            <w:pPr>
              <w:jc w:val="left"/>
            </w:pPr>
            <w:r>
              <w:rPr>
                <w:b/>
                <w:bCs/>
                <w:color w:val="000000"/>
                <w:sz w:val="18"/>
                <w:szCs w:val="18"/>
              </w:rPr>
              <w:t xml:space="preserve">PROMOCIONA con programa de refuerzo del aprendizaje, revisado al menos al finalizar cada trimestre.</w:t>
            </w:r>
          </w:p>
        </w:tc>
        <w:tc>
          <w:tcPr>
            <w:tcW w:type="dxa" w:w="1500"/>
            <w:shd w:fill="FFFFFF" w:val="clear"/>
          </w:tcPr>
          <w:p>
            <w:pPr>
              <w:jc w:val="center"/>
            </w:pPr>
            <w:r>
              <w:rPr>
                <w:b w:val="false"/>
                <w:bCs w:val="false"/>
                <w:color w:val="000000"/>
                <w:sz w:val="18"/>
                <w:szCs w:val="18"/>
              </w:rPr>
              <w:t xml:space="preserve">a) SÍ ☐ NO ☐   b) SÍ ☐ NO ☐</w:t>
            </w:r>
          </w:p>
        </w:tc>
      </w:tr>
      <w:tr>
        <w:tc>
          <w:tcPr>
            <w:tcW w:type="dxa" w:w="900"/>
            <w:shd w:fill="F5F7FA" w:val="clear"/>
          </w:tcPr>
          <w:p>
            <w:pPr>
              <w:jc w:val="center"/>
            </w:pPr>
            <w:r>
              <w:rPr>
                <w:b/>
                <w:bCs/>
                <w:color w:val="000000"/>
                <w:sz w:val="18"/>
                <w:szCs w:val="18"/>
              </w:rPr>
              <w:t xml:space="preserve">3</w:t>
            </w:r>
          </w:p>
        </w:tc>
        <w:tc>
          <w:tcPr>
            <w:tcW w:type="dxa" w:w="4300"/>
            <w:shd w:fill="F5F7FA" w:val="clear"/>
          </w:tcPr>
          <w:p>
            <w:pPr>
              <w:jc w:val="left"/>
            </w:pPr>
            <w:r>
              <w:rPr>
                <w:b w:val="false"/>
                <w:bCs w:val="false"/>
                <w:color w:val="000000"/>
                <w:sz w:val="18"/>
                <w:szCs w:val="18"/>
              </w:rPr>
              <w:t xml:space="preserve">Solo si no se cumplen las condiciones anteriores y se han agotado el resto de medidas de atención a la diversidad.</w:t>
            </w:r>
          </w:p>
        </w:tc>
        <w:tc>
          <w:tcPr>
            <w:tcW w:type="dxa" w:w="3300"/>
            <w:shd w:fill="F5F7FA" w:val="clear"/>
          </w:tcPr>
          <w:p>
            <w:pPr>
              <w:jc w:val="left"/>
            </w:pPr>
            <w:r>
              <w:rPr>
                <w:b/>
                <w:bCs/>
                <w:color w:val="000000"/>
                <w:sz w:val="18"/>
                <w:szCs w:val="18"/>
              </w:rPr>
              <w:t xml:space="preserve">PERMANENCIA UN AÑO MÁS (medida excepcional, una sola vez en la etapa), siempre con programa de refuerzo del aprendizaje sobre las competencias específicas de las áreas no desarrolladas.</w:t>
            </w:r>
          </w:p>
        </w:tc>
        <w:tc>
          <w:tcPr>
            <w:tcW w:type="dxa" w:w="1500"/>
            <w:shd w:fill="F5F7FA" w:val="clear"/>
          </w:tcPr>
          <w:p>
            <w:pPr>
              <w:jc w:val="center"/>
            </w:pPr>
            <w:r>
              <w:rPr>
                <w:b w:val="false"/>
                <w:bCs w:val="false"/>
                <w:color w:val="000000"/>
                <w:sz w:val="18"/>
                <w:szCs w:val="18"/>
              </w:rPr>
              <w:t xml:space="preserve">SÍ ☐   NO ☐</w:t>
            </w:r>
          </w:p>
        </w:tc>
      </w:tr>
    </w:tbl>
    <w:p>
      <w:pPr>
        <w:spacing w:after="120"/>
      </w:pPr>
    </w:p>
    <w:p>
      <w:pPr>
        <w:pStyle w:val="Heading2"/>
        <w:spacing w:after="120" w:before="200"/>
      </w:pPr>
      <w:r>
        <w:rPr>
          <w:b/>
          <w:bCs/>
          <w:color w:val="004AAD"/>
          <w:sz w:val="23"/>
          <w:szCs w:val="23"/>
        </w:rPr>
        <w:t xml:space="preserve">3. Registro del nivel de logro competencial</w:t>
      </w:r>
    </w:p>
    <w:p>
      <w:pPr>
        <w:spacing w:after="160"/>
      </w:pPr>
      <w:r>
        <w:rPr>
          <w:i/>
          <w:iCs/>
          <w:color w:val="555555"/>
          <w:sz w:val="18"/>
          <w:szCs w:val="18"/>
        </w:rPr>
        <w:t xml:space="preserve">Nivel de logro alcanzado en cada competencia clave al término del ciclo, según los descriptores operativos del Perfil competencial. Promociona por el Paso 1 quien alcanza nivel 2 o superior en el conjunto de descriptores.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200"/>
        <w:gridCol w:w="5600"/>
        <w:gridCol w:w="800"/>
        <w:gridCol w:w="800"/>
        <w:gridCol w:w="800"/>
        <w:gridCol w:w="800"/>
      </w:tblGrid>
      <w:tr>
        <w:trPr>
          <w:tblHeader/>
        </w:trPr>
        <w:tc>
          <w:tcPr>
            <w:tcW w:type="dxa" w:w="1200"/>
            <w:shd w:fill="004AAD" w:val="clear"/>
          </w:tcPr>
          <w:p>
            <w:pPr>
              <w:jc w:val="left"/>
            </w:pPr>
            <w:r>
              <w:rPr>
                <w:b/>
                <w:bCs/>
                <w:color w:val="FFFFFF"/>
                <w:sz w:val="19"/>
                <w:szCs w:val="19"/>
              </w:rPr>
              <w:t xml:space="preserve">Clave</w:t>
            </w:r>
          </w:p>
        </w:tc>
        <w:tc>
          <w:tcPr>
            <w:tcW w:type="dxa" w:w="5600"/>
            <w:shd w:fill="004AAD" w:val="clear"/>
          </w:tcPr>
          <w:p>
            <w:pPr>
              <w:jc w:val="left"/>
            </w:pPr>
            <w:r>
              <w:rPr>
                <w:b/>
                <w:bCs/>
                <w:color w:val="FFFFFF"/>
                <w:sz w:val="19"/>
                <w:szCs w:val="19"/>
              </w:rPr>
              <w:t xml:space="preserve">Competencia clave (descriptores operativos del Perfil competencial del ciclo)</w:t>
            </w:r>
          </w:p>
        </w:tc>
        <w:tc>
          <w:tcPr>
            <w:tcW w:type="dxa" w:w="800"/>
            <w:shd w:fill="004AAD" w:val="clear"/>
          </w:tcPr>
          <w:p>
            <w:pPr>
              <w:jc w:val="center"/>
            </w:pPr>
            <w:r>
              <w:rPr>
                <w:b/>
                <w:bCs/>
                <w:color w:val="FFFFFF"/>
                <w:sz w:val="19"/>
                <w:szCs w:val="19"/>
              </w:rPr>
              <w:t xml:space="preserve">1</w:t>
            </w:r>
          </w:p>
        </w:tc>
        <w:tc>
          <w:tcPr>
            <w:tcW w:type="dxa" w:w="800"/>
            <w:shd w:fill="004AAD" w:val="clear"/>
          </w:tcPr>
          <w:p>
            <w:pPr>
              <w:jc w:val="center"/>
            </w:pPr>
            <w:r>
              <w:rPr>
                <w:b/>
                <w:bCs/>
                <w:color w:val="FFFFFF"/>
                <w:sz w:val="19"/>
                <w:szCs w:val="19"/>
              </w:rPr>
              <w:t xml:space="preserve">2</w:t>
            </w:r>
          </w:p>
        </w:tc>
        <w:tc>
          <w:tcPr>
            <w:tcW w:type="dxa" w:w="800"/>
            <w:shd w:fill="004AAD" w:val="clear"/>
          </w:tcPr>
          <w:p>
            <w:pPr>
              <w:jc w:val="center"/>
            </w:pPr>
            <w:r>
              <w:rPr>
                <w:b/>
                <w:bCs/>
                <w:color w:val="FFFFFF"/>
                <w:sz w:val="19"/>
                <w:szCs w:val="19"/>
              </w:rPr>
              <w:t xml:space="preserve">3</w:t>
            </w:r>
          </w:p>
        </w:tc>
        <w:tc>
          <w:tcPr>
            <w:tcW w:type="dxa" w:w="800"/>
            <w:shd w:fill="004AAD" w:val="clear"/>
          </w:tcPr>
          <w:p>
            <w:pPr>
              <w:jc w:val="center"/>
            </w:pPr>
            <w:r>
              <w:rPr>
                <w:b/>
                <w:bCs/>
                <w:color w:val="FFFFFF"/>
                <w:sz w:val="19"/>
                <w:szCs w:val="19"/>
              </w:rPr>
              <w:t xml:space="preserve">4</w:t>
            </w:r>
          </w:p>
        </w:tc>
      </w:tr>
      <w:tr>
        <w:tc>
          <w:tcPr>
            <w:tcW w:type="dxa" w:w="1200"/>
            <w:shd w:fill="FFFFFF" w:val="clear"/>
          </w:tcPr>
          <w:p>
            <w:pPr>
              <w:jc w:val="left"/>
            </w:pPr>
            <w:r>
              <w:rPr>
                <w:b/>
                <w:bCs/>
                <w:color w:val="000000"/>
                <w:sz w:val="18"/>
                <w:szCs w:val="18"/>
              </w:rPr>
              <w:t xml:space="preserve">CCL</w:t>
            </w:r>
          </w:p>
        </w:tc>
        <w:tc>
          <w:tcPr>
            <w:tcW w:type="dxa" w:w="5600"/>
            <w:shd w:fill="FFFFFF" w:val="clear"/>
          </w:tcPr>
          <w:p>
            <w:pPr>
              <w:jc w:val="left"/>
            </w:pPr>
            <w:r>
              <w:rPr>
                <w:b w:val="false"/>
                <w:bCs w:val="false"/>
                <w:color w:val="000000"/>
                <w:sz w:val="18"/>
                <w:szCs w:val="18"/>
              </w:rPr>
              <w:t xml:space="preserve">Competencia en comunicación lingüística</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CP</w:t>
            </w:r>
          </w:p>
        </w:tc>
        <w:tc>
          <w:tcPr>
            <w:tcW w:type="dxa" w:w="5600"/>
            <w:shd w:fill="F5F7FA" w:val="clear"/>
          </w:tcPr>
          <w:p>
            <w:pPr>
              <w:jc w:val="left"/>
            </w:pPr>
            <w:r>
              <w:rPr>
                <w:b w:val="false"/>
                <w:bCs w:val="false"/>
                <w:color w:val="000000"/>
                <w:sz w:val="18"/>
                <w:szCs w:val="18"/>
              </w:rPr>
              <w:t xml:space="preserve">Competencia plurilingüe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r>
        <w:tc>
          <w:tcPr>
            <w:tcW w:type="dxa" w:w="1200"/>
            <w:shd w:fill="FFFFFF" w:val="clear"/>
          </w:tcPr>
          <w:p>
            <w:pPr>
              <w:jc w:val="left"/>
            </w:pPr>
            <w:r>
              <w:rPr>
                <w:b/>
                <w:bCs/>
                <w:color w:val="000000"/>
                <w:sz w:val="18"/>
                <w:szCs w:val="18"/>
              </w:rPr>
              <w:t xml:space="preserve">STEM</w:t>
            </w:r>
          </w:p>
        </w:tc>
        <w:tc>
          <w:tcPr>
            <w:tcW w:type="dxa" w:w="5600"/>
            <w:shd w:fill="FFFFFF" w:val="clear"/>
          </w:tcPr>
          <w:p>
            <w:pPr>
              <w:jc w:val="left"/>
            </w:pPr>
            <w:r>
              <w:rPr>
                <w:b w:val="false"/>
                <w:bCs w:val="false"/>
                <w:color w:val="000000"/>
                <w:sz w:val="18"/>
                <w:szCs w:val="18"/>
              </w:rPr>
              <w:t xml:space="preserve">Competencia matemática y en ciencia, tecnología e ingeniería</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CD</w:t>
            </w:r>
          </w:p>
        </w:tc>
        <w:tc>
          <w:tcPr>
            <w:tcW w:type="dxa" w:w="5600"/>
            <w:shd w:fill="F5F7FA" w:val="clear"/>
          </w:tcPr>
          <w:p>
            <w:pPr>
              <w:jc w:val="left"/>
            </w:pPr>
            <w:r>
              <w:rPr>
                <w:b w:val="false"/>
                <w:bCs w:val="false"/>
                <w:color w:val="000000"/>
                <w:sz w:val="18"/>
                <w:szCs w:val="18"/>
              </w:rPr>
              <w:t xml:space="preserve">Competencia digital</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r>
        <w:tc>
          <w:tcPr>
            <w:tcW w:type="dxa" w:w="1200"/>
            <w:shd w:fill="FFFFFF" w:val="clear"/>
          </w:tcPr>
          <w:p>
            <w:pPr>
              <w:jc w:val="left"/>
            </w:pPr>
            <w:r>
              <w:rPr>
                <w:b/>
                <w:bCs/>
                <w:color w:val="000000"/>
                <w:sz w:val="18"/>
                <w:szCs w:val="18"/>
              </w:rPr>
              <w:t xml:space="preserve">CPSAA</w:t>
            </w:r>
          </w:p>
        </w:tc>
        <w:tc>
          <w:tcPr>
            <w:tcW w:type="dxa" w:w="5600"/>
            <w:shd w:fill="FFFFFF" w:val="clear"/>
          </w:tcPr>
          <w:p>
            <w:pPr>
              <w:jc w:val="left"/>
            </w:pPr>
            <w:r>
              <w:rPr>
                <w:b w:val="false"/>
                <w:bCs w:val="false"/>
                <w:color w:val="000000"/>
                <w:sz w:val="18"/>
                <w:szCs w:val="18"/>
              </w:rPr>
              <w:t xml:space="preserve">Competencia personal, social y de aprender a aprender</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CC</w:t>
            </w:r>
          </w:p>
        </w:tc>
        <w:tc>
          <w:tcPr>
            <w:tcW w:type="dxa" w:w="5600"/>
            <w:shd w:fill="F5F7FA" w:val="clear"/>
          </w:tcPr>
          <w:p>
            <w:pPr>
              <w:jc w:val="left"/>
            </w:pPr>
            <w:r>
              <w:rPr>
                <w:b w:val="false"/>
                <w:bCs w:val="false"/>
                <w:color w:val="000000"/>
                <w:sz w:val="18"/>
                <w:szCs w:val="18"/>
              </w:rPr>
              <w:t xml:space="preserve">Competencia ciudadana</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r>
        <w:tc>
          <w:tcPr>
            <w:tcW w:type="dxa" w:w="1200"/>
            <w:shd w:fill="FFFFFF" w:val="clear"/>
          </w:tcPr>
          <w:p>
            <w:pPr>
              <w:jc w:val="left"/>
            </w:pPr>
            <w:r>
              <w:rPr>
                <w:b/>
                <w:bCs/>
                <w:color w:val="000000"/>
                <w:sz w:val="18"/>
                <w:szCs w:val="18"/>
              </w:rPr>
              <w:t xml:space="preserve">CE</w:t>
            </w:r>
          </w:p>
        </w:tc>
        <w:tc>
          <w:tcPr>
            <w:tcW w:type="dxa" w:w="5600"/>
            <w:shd w:fill="FFFFFF" w:val="clear"/>
          </w:tcPr>
          <w:p>
            <w:pPr>
              <w:jc w:val="left"/>
            </w:pPr>
            <w:r>
              <w:rPr>
                <w:b w:val="false"/>
                <w:bCs w:val="false"/>
                <w:color w:val="000000"/>
                <w:sz w:val="18"/>
                <w:szCs w:val="18"/>
              </w:rPr>
              <w:t xml:space="preserve">Competencia emprendedora</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CCEC</w:t>
            </w:r>
          </w:p>
        </w:tc>
        <w:tc>
          <w:tcPr>
            <w:tcW w:type="dxa" w:w="5600"/>
            <w:shd w:fill="F5F7FA" w:val="clear"/>
          </w:tcPr>
          <w:p>
            <w:pPr>
              <w:jc w:val="left"/>
            </w:pPr>
            <w:r>
              <w:rPr>
                <w:b w:val="false"/>
                <w:bCs w:val="false"/>
                <w:color w:val="000000"/>
                <w:sz w:val="18"/>
                <w:szCs w:val="18"/>
              </w:rPr>
              <w:t xml:space="preserve">Competencia en conciencia y expresión culturales</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bl>
    <w:p>
      <w:pPr>
        <w:spacing w:after="120"/>
      </w:pPr>
    </w:p>
    <w:p>
      <w:pPr>
        <w:pStyle w:val="Heading2"/>
        <w:spacing w:after="120" w:before="200"/>
      </w:pPr>
      <w:r>
        <w:rPr>
          <w:b/>
          <w:bCs/>
          <w:color w:val="004AAD"/>
          <w:sz w:val="23"/>
          <w:szCs w:val="23"/>
        </w:rPr>
        <w:t xml:space="preserve">4. Garantías del procedimiento</w:t>
      </w:r>
    </w:p>
    <w:p>
      <w:pPr>
        <w:pStyle w:val="ListParagraph"/>
        <w:numPr>
          <w:ilvl w:val="0"/>
          <w:numId w:val="2"/>
        </w:numPr>
        <w:spacing w:after="80"/>
      </w:pPr>
      <w:r>
        <w:rPr>
          <w:sz w:val="20"/>
          <w:szCs w:val="20"/>
        </w:rPr>
        <w:t xml:space="preserve">Audiencia a la familia: antes de adoptar la decisión, el tutor o tutora oye a los padres, madres o personas que ejerzan la tutela legal en una entrevista celebrada durante el mes de junio, de la que se deja constancia escrita.</w:t>
      </w:r>
    </w:p>
    <w:p>
      <w:pPr>
        <w:pStyle w:val="ListParagraph"/>
        <w:numPr>
          <w:ilvl w:val="0"/>
          <w:numId w:val="2"/>
        </w:numPr>
        <w:spacing w:after="80"/>
      </w:pPr>
      <w:r>
        <w:rPr>
          <w:sz w:val="20"/>
          <w:szCs w:val="20"/>
        </w:rPr>
        <w:t xml:space="preserve">Quien promociona sin haber superado todas las áreas sigue un programa de refuerzo del aprendizaje (individual por área o integrado en un único programa, según decida el equipo docente), con los elementos curriculares necesarios para ser evaluable; su aplicación y evaluación corresponden preferentemente a la persona que ejerce la tutoría, y el equipo docente lo revisa al menos al finalizar cada trimestre y, en todo caso, al finalizar el curso.</w:t>
      </w:r>
    </w:p>
    <w:p>
      <w:pPr>
        <w:pStyle w:val="ListParagraph"/>
        <w:numPr>
          <w:ilvl w:val="0"/>
          <w:numId w:val="2"/>
        </w:numPr>
        <w:spacing w:after="80"/>
      </w:pPr>
      <w:r>
        <w:rPr>
          <w:sz w:val="20"/>
          <w:szCs w:val="20"/>
        </w:rPr>
        <w:t xml:space="preserve">Ninguna decisión se apoya exclusivamente en una prueba escrita: se combinan observación sistemática, producciones del alumnado, exposiciones orales, trabajo cooperativo, portfolios y rúbricas.</w:t>
      </w:r>
    </w:p>
    <w:p>
      <w:pPr>
        <w:pStyle w:val="ListParagraph"/>
        <w:numPr>
          <w:ilvl w:val="0"/>
          <w:numId w:val="2"/>
        </w:numPr>
        <w:spacing w:after="80"/>
      </w:pPr>
      <w:r>
        <w:rPr>
          <w:sz w:val="20"/>
          <w:szCs w:val="20"/>
        </w:rPr>
        <w:t xml:space="preserve">Aclaración y revisión: la familia puede solicitar aclaraciones sobre la decisión de promoción al tutor o tutora y, en su caso, iniciar el procedimiento de revisión previsto en el apartado E.9 del Proyecto Educativo (artículos 24 y 25 de la Orden de 30 de mayo de 2023).</w:t>
      </w:r>
    </w:p>
    <w:p>
      <w:pPr>
        <w:spacing w:after="120"/>
      </w:pPr>
      <w:r>
        <w:rPr>
          <w:sz w:val="20"/>
          <w:szCs w:val="20"/>
        </w:rPr>
        <w:t xml:space="preserve">Al término del ciclo se cumplimenta el Informe final de ciclo previsto en el artículo 23 de la Orden, que recoge el grado de desarrollo competencial y, en su caso, las medidas de atención a la diversidad propuestas para el ciclo siguiente.</w:t>
      </w:r>
    </w:p>
    <w:p>
      <w:r>
        <w:br w:type="page"/>
      </w:r>
    </w:p>
    <w:p>
      <w:pPr>
        <w:pStyle w:val="Heading1"/>
        <w:spacing w:after="160" w:before="240"/>
      </w:pPr>
      <w:r>
        <w:rPr>
          <w:b/>
          <w:bCs/>
          <w:color w:val="004AAD"/>
          <w:sz w:val="28"/>
          <w:szCs w:val="28"/>
        </w:rPr>
        <w:t xml:space="preserve">4.º de Educación Primaria (final del segundo ciclo)</w:t>
      </w:r>
    </w:p>
    <w:p>
      <w:pPr>
        <w:pStyle w:val="Heading2"/>
        <w:spacing w:after="120" w:before="200"/>
      </w:pPr>
      <w:r>
        <w:rPr>
          <w:b/>
          <w:bCs/>
          <w:color w:val="004AAD"/>
          <w:sz w:val="23"/>
          <w:szCs w:val="23"/>
        </w:rPr>
        <w:t xml:space="preserve">1. Marco normativo y carácter de la decisión</w:t>
      </w:r>
    </w:p>
    <w:p>
      <w:pPr>
        <w:spacing w:after="120"/>
      </w:pPr>
      <w:r>
        <w:rPr>
          <w:sz w:val="20"/>
          <w:szCs w:val="20"/>
        </w:rPr>
        <w:t xml:space="preserve">La decisión de promoción se adopta al finalizar el segundo ciclo, es decir, al término de 4.º curso. La adopta el equipo docente de manera colegiada, tomando especialmente en consideración el criterio del tutor o tutora y con el asesoramiento del equipo de orientación educativa. Si no hay consenso, la decisión se toma por mayoría cualificada de dos tercios. Referencias: artículo 16 de la Orden de 30 de mayo de 2023 y Decreto 101/2023, de 9 de mayo.</w:t>
      </w:r>
    </w:p>
    <w:p>
      <w:pPr>
        <w:pStyle w:val="Heading2"/>
        <w:spacing w:after="120" w:before="200"/>
      </w:pPr>
      <w:r>
        <w:rPr>
          <w:b/>
          <w:bCs/>
          <w:color w:val="004AAD"/>
          <w:sz w:val="23"/>
          <w:szCs w:val="23"/>
        </w:rPr>
        <w:t xml:space="preserve">2. Criterios de promoción: regla de tres pasos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900"/>
        <w:gridCol w:w="4300"/>
        <w:gridCol w:w="3300"/>
        <w:gridCol w:w="1500"/>
      </w:tblGrid>
      <w:tr>
        <w:trPr>
          <w:tblHeader/>
        </w:trPr>
        <w:tc>
          <w:tcPr>
            <w:tcW w:type="dxa" w:w="900"/>
            <w:shd w:fill="004AAD" w:val="clear"/>
          </w:tcPr>
          <w:p>
            <w:pPr>
              <w:jc w:val="center"/>
            </w:pPr>
            <w:r>
              <w:rPr>
                <w:b/>
                <w:bCs/>
                <w:color w:val="FFFFFF"/>
                <w:sz w:val="19"/>
                <w:szCs w:val="19"/>
              </w:rPr>
              <w:t xml:space="preserve">Paso</w:t>
            </w:r>
          </w:p>
        </w:tc>
        <w:tc>
          <w:tcPr>
            <w:tcW w:type="dxa" w:w="4300"/>
            <w:shd w:fill="004AAD" w:val="clear"/>
          </w:tcPr>
          <w:p>
            <w:pPr>
              <w:jc w:val="left"/>
            </w:pPr>
            <w:r>
              <w:rPr>
                <w:b/>
                <w:bCs/>
                <w:color w:val="FFFFFF"/>
                <w:sz w:val="19"/>
                <w:szCs w:val="19"/>
              </w:rPr>
              <w:t xml:space="preserve">Condición que se comprueba</w:t>
            </w:r>
          </w:p>
        </w:tc>
        <w:tc>
          <w:tcPr>
            <w:tcW w:type="dxa" w:w="3300"/>
            <w:shd w:fill="004AAD" w:val="clear"/>
          </w:tcPr>
          <w:p>
            <w:pPr>
              <w:jc w:val="left"/>
            </w:pPr>
            <w:r>
              <w:rPr>
                <w:b/>
                <w:bCs/>
                <w:color w:val="FFFFFF"/>
                <w:sz w:val="19"/>
                <w:szCs w:val="19"/>
              </w:rPr>
              <w:t xml:space="preserve">Decisión</w:t>
            </w:r>
          </w:p>
        </w:tc>
        <w:tc>
          <w:tcPr>
            <w:tcW w:type="dxa" w:w="1500"/>
            <w:shd w:fill="004AAD" w:val="clear"/>
          </w:tcPr>
          <w:p>
            <w:pPr>
              <w:jc w:val="center"/>
            </w:pPr>
            <w:r>
              <w:rPr>
                <w:b/>
                <w:bCs/>
                <w:color w:val="FFFFFF"/>
                <w:sz w:val="19"/>
                <w:szCs w:val="19"/>
              </w:rPr>
              <w:t xml:space="preserve">¿Se cumple?</w:t>
            </w:r>
          </w:p>
        </w:tc>
      </w:tr>
      <w:tr>
        <w:tc>
          <w:tcPr>
            <w:tcW w:type="dxa" w:w="900"/>
            <w:shd w:fill="E8F0FE" w:val="clear"/>
          </w:tcPr>
          <w:p>
            <w:pPr>
              <w:jc w:val="center"/>
            </w:pPr>
            <w:r>
              <w:rPr>
                <w:b/>
                <w:bCs/>
                <w:color w:val="000000"/>
                <w:sz w:val="18"/>
                <w:szCs w:val="18"/>
              </w:rPr>
              <w:t xml:space="preserve">1</w:t>
            </w:r>
          </w:p>
        </w:tc>
        <w:tc>
          <w:tcPr>
            <w:tcW w:type="dxa" w:w="4300"/>
            <w:shd w:fill="E8F0FE" w:val="clear"/>
          </w:tcPr>
          <w:p>
            <w:pPr>
              <w:jc w:val="left"/>
            </w:pPr>
            <w:r>
              <w:rPr>
                <w:b w:val="false"/>
                <w:bCs w:val="false"/>
                <w:color w:val="000000"/>
                <w:sz w:val="18"/>
                <w:szCs w:val="18"/>
              </w:rPr>
              <w:t xml:space="preserve">Nivel de logro 2 o superior en los descriptores operativos del Perfil competencial del ciclo (conversión del centro: 1 Insuficiente · 2 Suficiente o Bien · 3 Notable · 4 Sobresaliente).</w:t>
            </w:r>
          </w:p>
        </w:tc>
        <w:tc>
          <w:tcPr>
            <w:tcW w:type="dxa" w:w="3300"/>
            <w:shd w:fill="E8F0FE" w:val="clear"/>
          </w:tcPr>
          <w:p>
            <w:pPr>
              <w:jc w:val="left"/>
            </w:pPr>
            <w:r>
              <w:rPr>
                <w:b/>
                <w:bCs/>
                <w:color w:val="000000"/>
                <w:sz w:val="18"/>
                <w:szCs w:val="18"/>
              </w:rPr>
              <w:t xml:space="preserve">PROMOCIONA.</w:t>
            </w:r>
          </w:p>
        </w:tc>
        <w:tc>
          <w:tcPr>
            <w:tcW w:type="dxa" w:w="1500"/>
            <w:shd w:fill="E8F0FE" w:val="clear"/>
          </w:tcPr>
          <w:p>
            <w:pPr>
              <w:jc w:val="center"/>
            </w:pPr>
            <w:r>
              <w:rPr>
                <w:b w:val="false"/>
                <w:bCs w:val="false"/>
                <w:color w:val="000000"/>
                <w:sz w:val="18"/>
                <w:szCs w:val="18"/>
              </w:rPr>
              <w:t xml:space="preserve">SÍ ☐   NO ☐</w:t>
            </w:r>
          </w:p>
        </w:tc>
      </w:tr>
      <w:tr>
        <w:tc>
          <w:tcPr>
            <w:tcW w:type="dxa" w:w="900"/>
            <w:shd w:fill="FFFFFF" w:val="clear"/>
          </w:tcPr>
          <w:p>
            <w:pPr>
              <w:jc w:val="center"/>
            </w:pPr>
            <w:r>
              <w:rPr>
                <w:b/>
                <w:bCs/>
                <w:color w:val="000000"/>
                <w:sz w:val="18"/>
                <w:szCs w:val="18"/>
              </w:rPr>
              <w:t xml:space="preserve">2</w:t>
            </w:r>
          </w:p>
        </w:tc>
        <w:tc>
          <w:tcPr>
            <w:tcW w:type="dxa" w:w="4300"/>
            <w:shd w:fill="FFFFFF" w:val="clear"/>
          </w:tcPr>
          <w:p>
            <w:pPr>
              <w:jc w:val="left"/>
            </w:pPr>
            <w:r>
              <w:rPr>
                <w:b w:val="false"/>
                <w:bCs w:val="false"/>
                <w:color w:val="000000"/>
                <w:sz w:val="18"/>
                <w:szCs w:val="18"/>
              </w:rPr>
              <w:t xml:space="preserve">Si no alcanza el Paso 1, comprobación conjunta de las dos condiciones del artículo 16.2 de la Orden de 30 de mayo de 2023: (a) evolución positiva en las actividades de evaluación propuestas y (b) participación con implicación, atención y esfuerzo tras aplicar las medidas de atención a la diversidad.</w:t>
            </w:r>
          </w:p>
        </w:tc>
        <w:tc>
          <w:tcPr>
            <w:tcW w:type="dxa" w:w="3300"/>
            <w:shd w:fill="FFFFFF" w:val="clear"/>
          </w:tcPr>
          <w:p>
            <w:pPr>
              <w:jc w:val="left"/>
            </w:pPr>
            <w:r>
              <w:rPr>
                <w:b/>
                <w:bCs/>
                <w:color w:val="000000"/>
                <w:sz w:val="18"/>
                <w:szCs w:val="18"/>
              </w:rPr>
              <w:t xml:space="preserve">PROMOCIONA con programa de refuerzo del aprendizaje, revisado al menos al finalizar cada trimestre.</w:t>
            </w:r>
          </w:p>
        </w:tc>
        <w:tc>
          <w:tcPr>
            <w:tcW w:type="dxa" w:w="1500"/>
            <w:shd w:fill="FFFFFF" w:val="clear"/>
          </w:tcPr>
          <w:p>
            <w:pPr>
              <w:jc w:val="center"/>
            </w:pPr>
            <w:r>
              <w:rPr>
                <w:b w:val="false"/>
                <w:bCs w:val="false"/>
                <w:color w:val="000000"/>
                <w:sz w:val="18"/>
                <w:szCs w:val="18"/>
              </w:rPr>
              <w:t xml:space="preserve">a) SÍ ☐ NO ☐   b) SÍ ☐ NO ☐</w:t>
            </w:r>
          </w:p>
        </w:tc>
      </w:tr>
      <w:tr>
        <w:tc>
          <w:tcPr>
            <w:tcW w:type="dxa" w:w="900"/>
            <w:shd w:fill="F5F7FA" w:val="clear"/>
          </w:tcPr>
          <w:p>
            <w:pPr>
              <w:jc w:val="center"/>
            </w:pPr>
            <w:r>
              <w:rPr>
                <w:b/>
                <w:bCs/>
                <w:color w:val="000000"/>
                <w:sz w:val="18"/>
                <w:szCs w:val="18"/>
              </w:rPr>
              <w:t xml:space="preserve">3</w:t>
            </w:r>
          </w:p>
        </w:tc>
        <w:tc>
          <w:tcPr>
            <w:tcW w:type="dxa" w:w="4300"/>
            <w:shd w:fill="F5F7FA" w:val="clear"/>
          </w:tcPr>
          <w:p>
            <w:pPr>
              <w:jc w:val="left"/>
            </w:pPr>
            <w:r>
              <w:rPr>
                <w:b w:val="false"/>
                <w:bCs w:val="false"/>
                <w:color w:val="000000"/>
                <w:sz w:val="18"/>
                <w:szCs w:val="18"/>
              </w:rPr>
              <w:t xml:space="preserve">Solo si no se cumplen las condiciones anteriores y se han agotado el resto de medidas de atención a la diversidad.</w:t>
            </w:r>
          </w:p>
        </w:tc>
        <w:tc>
          <w:tcPr>
            <w:tcW w:type="dxa" w:w="3300"/>
            <w:shd w:fill="F5F7FA" w:val="clear"/>
          </w:tcPr>
          <w:p>
            <w:pPr>
              <w:jc w:val="left"/>
            </w:pPr>
            <w:r>
              <w:rPr>
                <w:b/>
                <w:bCs/>
                <w:color w:val="000000"/>
                <w:sz w:val="18"/>
                <w:szCs w:val="18"/>
              </w:rPr>
              <w:t xml:space="preserve">PERMANENCIA UN AÑO MÁS (medida excepcional, una sola vez en la etapa), siempre con programa de refuerzo del aprendizaje sobre las competencias específicas de las áreas no desarrolladas.</w:t>
            </w:r>
          </w:p>
        </w:tc>
        <w:tc>
          <w:tcPr>
            <w:tcW w:type="dxa" w:w="1500"/>
            <w:shd w:fill="F5F7FA" w:val="clear"/>
          </w:tcPr>
          <w:p>
            <w:pPr>
              <w:jc w:val="center"/>
            </w:pPr>
            <w:r>
              <w:rPr>
                <w:b w:val="false"/>
                <w:bCs w:val="false"/>
                <w:color w:val="000000"/>
                <w:sz w:val="18"/>
                <w:szCs w:val="18"/>
              </w:rPr>
              <w:t xml:space="preserve">SÍ ☐   NO ☐</w:t>
            </w:r>
          </w:p>
        </w:tc>
      </w:tr>
    </w:tbl>
    <w:p>
      <w:pPr>
        <w:spacing w:after="120"/>
      </w:pPr>
    </w:p>
    <w:p>
      <w:pPr>
        <w:pStyle w:val="Heading2"/>
        <w:spacing w:after="120" w:before="200"/>
      </w:pPr>
      <w:r>
        <w:rPr>
          <w:b/>
          <w:bCs/>
          <w:color w:val="004AAD"/>
          <w:sz w:val="23"/>
          <w:szCs w:val="23"/>
        </w:rPr>
        <w:t xml:space="preserve">3. Registro del nivel de logro competencial</w:t>
      </w:r>
    </w:p>
    <w:p>
      <w:pPr>
        <w:spacing w:after="160"/>
      </w:pPr>
      <w:r>
        <w:rPr>
          <w:i/>
          <w:iCs/>
          <w:color w:val="555555"/>
          <w:sz w:val="18"/>
          <w:szCs w:val="18"/>
        </w:rPr>
        <w:t xml:space="preserve">Nivel de logro alcanzado en cada competencia clave al término del ciclo, según los descriptores operativos del Perfil competencial. Promociona por el Paso 1 quien alcanza nivel 2 o superior en el conjunto de descriptores.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200"/>
        <w:gridCol w:w="5600"/>
        <w:gridCol w:w="800"/>
        <w:gridCol w:w="800"/>
        <w:gridCol w:w="800"/>
        <w:gridCol w:w="800"/>
      </w:tblGrid>
      <w:tr>
        <w:trPr>
          <w:tblHeader/>
        </w:trPr>
        <w:tc>
          <w:tcPr>
            <w:tcW w:type="dxa" w:w="1200"/>
            <w:shd w:fill="004AAD" w:val="clear"/>
          </w:tcPr>
          <w:p>
            <w:pPr>
              <w:jc w:val="left"/>
            </w:pPr>
            <w:r>
              <w:rPr>
                <w:b/>
                <w:bCs/>
                <w:color w:val="FFFFFF"/>
                <w:sz w:val="19"/>
                <w:szCs w:val="19"/>
              </w:rPr>
              <w:t xml:space="preserve">Clave</w:t>
            </w:r>
          </w:p>
        </w:tc>
        <w:tc>
          <w:tcPr>
            <w:tcW w:type="dxa" w:w="5600"/>
            <w:shd w:fill="004AAD" w:val="clear"/>
          </w:tcPr>
          <w:p>
            <w:pPr>
              <w:jc w:val="left"/>
            </w:pPr>
            <w:r>
              <w:rPr>
                <w:b/>
                <w:bCs/>
                <w:color w:val="FFFFFF"/>
                <w:sz w:val="19"/>
                <w:szCs w:val="19"/>
              </w:rPr>
              <w:t xml:space="preserve">Competencia clave (descriptores operativos del Perfil competencial del ciclo)</w:t>
            </w:r>
          </w:p>
        </w:tc>
        <w:tc>
          <w:tcPr>
            <w:tcW w:type="dxa" w:w="800"/>
            <w:shd w:fill="004AAD" w:val="clear"/>
          </w:tcPr>
          <w:p>
            <w:pPr>
              <w:jc w:val="center"/>
            </w:pPr>
            <w:r>
              <w:rPr>
                <w:b/>
                <w:bCs/>
                <w:color w:val="FFFFFF"/>
                <w:sz w:val="19"/>
                <w:szCs w:val="19"/>
              </w:rPr>
              <w:t xml:space="preserve">1</w:t>
            </w:r>
          </w:p>
        </w:tc>
        <w:tc>
          <w:tcPr>
            <w:tcW w:type="dxa" w:w="800"/>
            <w:shd w:fill="004AAD" w:val="clear"/>
          </w:tcPr>
          <w:p>
            <w:pPr>
              <w:jc w:val="center"/>
            </w:pPr>
            <w:r>
              <w:rPr>
                <w:b/>
                <w:bCs/>
                <w:color w:val="FFFFFF"/>
                <w:sz w:val="19"/>
                <w:szCs w:val="19"/>
              </w:rPr>
              <w:t xml:space="preserve">2</w:t>
            </w:r>
          </w:p>
        </w:tc>
        <w:tc>
          <w:tcPr>
            <w:tcW w:type="dxa" w:w="800"/>
            <w:shd w:fill="004AAD" w:val="clear"/>
          </w:tcPr>
          <w:p>
            <w:pPr>
              <w:jc w:val="center"/>
            </w:pPr>
            <w:r>
              <w:rPr>
                <w:b/>
                <w:bCs/>
                <w:color w:val="FFFFFF"/>
                <w:sz w:val="19"/>
                <w:szCs w:val="19"/>
              </w:rPr>
              <w:t xml:space="preserve">3</w:t>
            </w:r>
          </w:p>
        </w:tc>
        <w:tc>
          <w:tcPr>
            <w:tcW w:type="dxa" w:w="800"/>
            <w:shd w:fill="004AAD" w:val="clear"/>
          </w:tcPr>
          <w:p>
            <w:pPr>
              <w:jc w:val="center"/>
            </w:pPr>
            <w:r>
              <w:rPr>
                <w:b/>
                <w:bCs/>
                <w:color w:val="FFFFFF"/>
                <w:sz w:val="19"/>
                <w:szCs w:val="19"/>
              </w:rPr>
              <w:t xml:space="preserve">4</w:t>
            </w:r>
          </w:p>
        </w:tc>
      </w:tr>
      <w:tr>
        <w:tc>
          <w:tcPr>
            <w:tcW w:type="dxa" w:w="1200"/>
            <w:shd w:fill="FFFFFF" w:val="clear"/>
          </w:tcPr>
          <w:p>
            <w:pPr>
              <w:jc w:val="left"/>
            </w:pPr>
            <w:r>
              <w:rPr>
                <w:b/>
                <w:bCs/>
                <w:color w:val="000000"/>
                <w:sz w:val="18"/>
                <w:szCs w:val="18"/>
              </w:rPr>
              <w:t xml:space="preserve">CCL</w:t>
            </w:r>
          </w:p>
        </w:tc>
        <w:tc>
          <w:tcPr>
            <w:tcW w:type="dxa" w:w="5600"/>
            <w:shd w:fill="FFFFFF" w:val="clear"/>
          </w:tcPr>
          <w:p>
            <w:pPr>
              <w:jc w:val="left"/>
            </w:pPr>
            <w:r>
              <w:rPr>
                <w:b w:val="false"/>
                <w:bCs w:val="false"/>
                <w:color w:val="000000"/>
                <w:sz w:val="18"/>
                <w:szCs w:val="18"/>
              </w:rPr>
              <w:t xml:space="preserve">Competencia en comunicación lingüística</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CP</w:t>
            </w:r>
          </w:p>
        </w:tc>
        <w:tc>
          <w:tcPr>
            <w:tcW w:type="dxa" w:w="5600"/>
            <w:shd w:fill="F5F7FA" w:val="clear"/>
          </w:tcPr>
          <w:p>
            <w:pPr>
              <w:jc w:val="left"/>
            </w:pPr>
            <w:r>
              <w:rPr>
                <w:b w:val="false"/>
                <w:bCs w:val="false"/>
                <w:color w:val="000000"/>
                <w:sz w:val="18"/>
                <w:szCs w:val="18"/>
              </w:rPr>
              <w:t xml:space="preserve">Competencia plurilingüe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r>
        <w:tc>
          <w:tcPr>
            <w:tcW w:type="dxa" w:w="1200"/>
            <w:shd w:fill="FFFFFF" w:val="clear"/>
          </w:tcPr>
          <w:p>
            <w:pPr>
              <w:jc w:val="left"/>
            </w:pPr>
            <w:r>
              <w:rPr>
                <w:b/>
                <w:bCs/>
                <w:color w:val="000000"/>
                <w:sz w:val="18"/>
                <w:szCs w:val="18"/>
              </w:rPr>
              <w:t xml:space="preserve">STEM</w:t>
            </w:r>
          </w:p>
        </w:tc>
        <w:tc>
          <w:tcPr>
            <w:tcW w:type="dxa" w:w="5600"/>
            <w:shd w:fill="FFFFFF" w:val="clear"/>
          </w:tcPr>
          <w:p>
            <w:pPr>
              <w:jc w:val="left"/>
            </w:pPr>
            <w:r>
              <w:rPr>
                <w:b w:val="false"/>
                <w:bCs w:val="false"/>
                <w:color w:val="000000"/>
                <w:sz w:val="18"/>
                <w:szCs w:val="18"/>
              </w:rPr>
              <w:t xml:space="preserve">Competencia matemática y en ciencia, tecnología e ingeniería</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CD</w:t>
            </w:r>
          </w:p>
        </w:tc>
        <w:tc>
          <w:tcPr>
            <w:tcW w:type="dxa" w:w="5600"/>
            <w:shd w:fill="F5F7FA" w:val="clear"/>
          </w:tcPr>
          <w:p>
            <w:pPr>
              <w:jc w:val="left"/>
            </w:pPr>
            <w:r>
              <w:rPr>
                <w:b w:val="false"/>
                <w:bCs w:val="false"/>
                <w:color w:val="000000"/>
                <w:sz w:val="18"/>
                <w:szCs w:val="18"/>
              </w:rPr>
              <w:t xml:space="preserve">Competencia digital</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r>
        <w:tc>
          <w:tcPr>
            <w:tcW w:type="dxa" w:w="1200"/>
            <w:shd w:fill="FFFFFF" w:val="clear"/>
          </w:tcPr>
          <w:p>
            <w:pPr>
              <w:jc w:val="left"/>
            </w:pPr>
            <w:r>
              <w:rPr>
                <w:b/>
                <w:bCs/>
                <w:color w:val="000000"/>
                <w:sz w:val="18"/>
                <w:szCs w:val="18"/>
              </w:rPr>
              <w:t xml:space="preserve">CPSAA</w:t>
            </w:r>
          </w:p>
        </w:tc>
        <w:tc>
          <w:tcPr>
            <w:tcW w:type="dxa" w:w="5600"/>
            <w:shd w:fill="FFFFFF" w:val="clear"/>
          </w:tcPr>
          <w:p>
            <w:pPr>
              <w:jc w:val="left"/>
            </w:pPr>
            <w:r>
              <w:rPr>
                <w:b w:val="false"/>
                <w:bCs w:val="false"/>
                <w:color w:val="000000"/>
                <w:sz w:val="18"/>
                <w:szCs w:val="18"/>
              </w:rPr>
              <w:t xml:space="preserve">Competencia personal, social y de aprender a aprender</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CC</w:t>
            </w:r>
          </w:p>
        </w:tc>
        <w:tc>
          <w:tcPr>
            <w:tcW w:type="dxa" w:w="5600"/>
            <w:shd w:fill="F5F7FA" w:val="clear"/>
          </w:tcPr>
          <w:p>
            <w:pPr>
              <w:jc w:val="left"/>
            </w:pPr>
            <w:r>
              <w:rPr>
                <w:b w:val="false"/>
                <w:bCs w:val="false"/>
                <w:color w:val="000000"/>
                <w:sz w:val="18"/>
                <w:szCs w:val="18"/>
              </w:rPr>
              <w:t xml:space="preserve">Competencia ciudadana</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r>
        <w:tc>
          <w:tcPr>
            <w:tcW w:type="dxa" w:w="1200"/>
            <w:shd w:fill="FFFFFF" w:val="clear"/>
          </w:tcPr>
          <w:p>
            <w:pPr>
              <w:jc w:val="left"/>
            </w:pPr>
            <w:r>
              <w:rPr>
                <w:b/>
                <w:bCs/>
                <w:color w:val="000000"/>
                <w:sz w:val="18"/>
                <w:szCs w:val="18"/>
              </w:rPr>
              <w:t xml:space="preserve">CE</w:t>
            </w:r>
          </w:p>
        </w:tc>
        <w:tc>
          <w:tcPr>
            <w:tcW w:type="dxa" w:w="5600"/>
            <w:shd w:fill="FFFFFF" w:val="clear"/>
          </w:tcPr>
          <w:p>
            <w:pPr>
              <w:jc w:val="left"/>
            </w:pPr>
            <w:r>
              <w:rPr>
                <w:b w:val="false"/>
                <w:bCs w:val="false"/>
                <w:color w:val="000000"/>
                <w:sz w:val="18"/>
                <w:szCs w:val="18"/>
              </w:rPr>
              <w:t xml:space="preserve">Competencia emprendedora</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CCEC</w:t>
            </w:r>
          </w:p>
        </w:tc>
        <w:tc>
          <w:tcPr>
            <w:tcW w:type="dxa" w:w="5600"/>
            <w:shd w:fill="F5F7FA" w:val="clear"/>
          </w:tcPr>
          <w:p>
            <w:pPr>
              <w:jc w:val="left"/>
            </w:pPr>
            <w:r>
              <w:rPr>
                <w:b w:val="false"/>
                <w:bCs w:val="false"/>
                <w:color w:val="000000"/>
                <w:sz w:val="18"/>
                <w:szCs w:val="18"/>
              </w:rPr>
              <w:t xml:space="preserve">Competencia en conciencia y expresión culturales</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bl>
    <w:p>
      <w:pPr>
        <w:spacing w:after="120"/>
      </w:pPr>
    </w:p>
    <w:p>
      <w:pPr>
        <w:pStyle w:val="Heading2"/>
        <w:spacing w:after="120" w:before="200"/>
      </w:pPr>
      <w:r>
        <w:rPr>
          <w:b/>
          <w:bCs/>
          <w:color w:val="004AAD"/>
          <w:sz w:val="23"/>
          <w:szCs w:val="23"/>
        </w:rPr>
        <w:t xml:space="preserve">4. Garantías del procedimiento</w:t>
      </w:r>
    </w:p>
    <w:p>
      <w:pPr>
        <w:pStyle w:val="ListParagraph"/>
        <w:numPr>
          <w:ilvl w:val="0"/>
          <w:numId w:val="2"/>
        </w:numPr>
        <w:spacing w:after="80"/>
      </w:pPr>
      <w:r>
        <w:rPr>
          <w:sz w:val="20"/>
          <w:szCs w:val="20"/>
        </w:rPr>
        <w:t xml:space="preserve">Audiencia a la familia: antes de adoptar la decisión, el tutor o tutora oye a los padres, madres o personas que ejerzan la tutela legal en una entrevista celebrada durante el mes de junio, de la que se deja constancia escrita.</w:t>
      </w:r>
    </w:p>
    <w:p>
      <w:pPr>
        <w:pStyle w:val="ListParagraph"/>
        <w:numPr>
          <w:ilvl w:val="0"/>
          <w:numId w:val="2"/>
        </w:numPr>
        <w:spacing w:after="80"/>
      </w:pPr>
      <w:r>
        <w:rPr>
          <w:sz w:val="20"/>
          <w:szCs w:val="20"/>
        </w:rPr>
        <w:t xml:space="preserve">Quien promociona sin haber superado todas las áreas sigue un programa de refuerzo del aprendizaje (individual por área o integrado en un único programa, según decida el equipo docente), con los elementos curriculares necesarios para ser evaluable; su aplicación y evaluación corresponden preferentemente a la persona que ejerce la tutoría, y el equipo docente lo revisa al menos al finalizar cada trimestre y, en todo caso, al finalizar el curso.</w:t>
      </w:r>
    </w:p>
    <w:p>
      <w:pPr>
        <w:pStyle w:val="ListParagraph"/>
        <w:numPr>
          <w:ilvl w:val="0"/>
          <w:numId w:val="2"/>
        </w:numPr>
        <w:spacing w:after="80"/>
      </w:pPr>
      <w:r>
        <w:rPr>
          <w:sz w:val="20"/>
          <w:szCs w:val="20"/>
        </w:rPr>
        <w:t xml:space="preserve">Ninguna decisión se apoya exclusivamente en una prueba escrita: se combinan observación sistemática, producciones del alumnado, exposiciones orales, trabajo cooperativo, portfolios y rúbricas.</w:t>
      </w:r>
    </w:p>
    <w:p>
      <w:pPr>
        <w:pStyle w:val="ListParagraph"/>
        <w:numPr>
          <w:ilvl w:val="0"/>
          <w:numId w:val="2"/>
        </w:numPr>
        <w:spacing w:after="80"/>
      </w:pPr>
      <w:r>
        <w:rPr>
          <w:sz w:val="20"/>
          <w:szCs w:val="20"/>
        </w:rPr>
        <w:t xml:space="preserve">Aclaración y revisión: la familia puede solicitar aclaraciones sobre la decisión de promoción al tutor o tutora y, en su caso, iniciar el procedimiento de revisión previsto en el apartado E.9 del Proyecto Educativo (artículos 24 y 25 de la Orden de 30 de mayo de 2023).</w:t>
      </w:r>
    </w:p>
    <w:p>
      <w:pPr>
        <w:pStyle w:val="ListParagraph"/>
        <w:numPr>
          <w:ilvl w:val="0"/>
          <w:numId w:val="2"/>
        </w:numPr>
        <w:spacing w:after="80"/>
      </w:pPr>
      <w:r>
        <w:rPr>
          <w:sz w:val="20"/>
          <w:szCs w:val="20"/>
        </w:rPr>
        <w:t xml:space="preserve">Evaluación de diagnóstico de 4.º: no tiene efectos académicos y ninguna decisión de promoción puede fundamentarse en sus resultados. Su carácter es informativo, formativo y orientador; sus resultados se emplean para organizar las medidas de atención a la diversidad del tercer ciclo.</w:t>
      </w:r>
    </w:p>
    <w:p>
      <w:pPr>
        <w:spacing w:after="120"/>
      </w:pPr>
      <w:r>
        <w:rPr>
          <w:sz w:val="20"/>
          <w:szCs w:val="20"/>
        </w:rPr>
        <w:t xml:space="preserve">Al término del ciclo se cumplimenta el Informe final de ciclo previsto en el artículo 23 de la Orden.</w:t>
      </w:r>
    </w:p>
    <w:p>
      <w:r>
        <w:br w:type="page"/>
      </w:r>
    </w:p>
    <w:p>
      <w:pPr>
        <w:pStyle w:val="Heading1"/>
        <w:spacing w:after="160" w:before="240"/>
      </w:pPr>
      <w:r>
        <w:rPr>
          <w:b/>
          <w:bCs/>
          <w:color w:val="004AAD"/>
          <w:sz w:val="28"/>
          <w:szCs w:val="28"/>
        </w:rPr>
        <w:t xml:space="preserve">6.º de Educación Primaria (final del tercer ciclo y de la etapa)</w:t>
      </w:r>
    </w:p>
    <w:p>
      <w:pPr>
        <w:pStyle w:val="Heading2"/>
        <w:spacing w:after="120" w:before="200"/>
      </w:pPr>
      <w:r>
        <w:rPr>
          <w:b/>
          <w:bCs/>
          <w:color w:val="004AAD"/>
          <w:sz w:val="23"/>
          <w:szCs w:val="23"/>
        </w:rPr>
        <w:t xml:space="preserve">1. Marco normativo y carácter de la decisión</w:t>
      </w:r>
    </w:p>
    <w:p>
      <w:pPr>
        <w:spacing w:after="120"/>
      </w:pPr>
      <w:r>
        <w:rPr>
          <w:sz w:val="20"/>
          <w:szCs w:val="20"/>
        </w:rPr>
        <w:t xml:space="preserve">La decisión de promoción se adopta al finalizar el tercer ciclo, es decir, al término de 6.º curso. La adopta el equipo docente de manera colegiada, tomando especialmente en consideración el criterio del tutor o tutora y con el asesoramiento del equipo de orientación educativa. Si no hay consenso, la decisión se toma por mayoría cualificada de dos tercios. Referencias: artículo 16 de la Orden de 30 de mayo de 2023 y Decreto 101/2023, de 9 de mayo.</w:t>
      </w:r>
    </w:p>
    <w:p>
      <w:pPr>
        <w:pStyle w:val="Heading2"/>
        <w:spacing w:after="120" w:before="200"/>
      </w:pPr>
      <w:r>
        <w:rPr>
          <w:b/>
          <w:bCs/>
          <w:color w:val="004AAD"/>
          <w:sz w:val="23"/>
          <w:szCs w:val="23"/>
        </w:rPr>
        <w:t xml:space="preserve">2. Criterios de promoción: regla de tres pasos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900"/>
        <w:gridCol w:w="4300"/>
        <w:gridCol w:w="3300"/>
        <w:gridCol w:w="1500"/>
      </w:tblGrid>
      <w:tr>
        <w:trPr>
          <w:tblHeader/>
        </w:trPr>
        <w:tc>
          <w:tcPr>
            <w:tcW w:type="dxa" w:w="900"/>
            <w:shd w:fill="004AAD" w:val="clear"/>
          </w:tcPr>
          <w:p>
            <w:pPr>
              <w:jc w:val="center"/>
            </w:pPr>
            <w:r>
              <w:rPr>
                <w:b/>
                <w:bCs/>
                <w:color w:val="FFFFFF"/>
                <w:sz w:val="19"/>
                <w:szCs w:val="19"/>
              </w:rPr>
              <w:t xml:space="preserve">Paso</w:t>
            </w:r>
          </w:p>
        </w:tc>
        <w:tc>
          <w:tcPr>
            <w:tcW w:type="dxa" w:w="4300"/>
            <w:shd w:fill="004AAD" w:val="clear"/>
          </w:tcPr>
          <w:p>
            <w:pPr>
              <w:jc w:val="left"/>
            </w:pPr>
            <w:r>
              <w:rPr>
                <w:b/>
                <w:bCs/>
                <w:color w:val="FFFFFF"/>
                <w:sz w:val="19"/>
                <w:szCs w:val="19"/>
              </w:rPr>
              <w:t xml:space="preserve">Condición que se comprueba</w:t>
            </w:r>
          </w:p>
        </w:tc>
        <w:tc>
          <w:tcPr>
            <w:tcW w:type="dxa" w:w="3300"/>
            <w:shd w:fill="004AAD" w:val="clear"/>
          </w:tcPr>
          <w:p>
            <w:pPr>
              <w:jc w:val="left"/>
            </w:pPr>
            <w:r>
              <w:rPr>
                <w:b/>
                <w:bCs/>
                <w:color w:val="FFFFFF"/>
                <w:sz w:val="19"/>
                <w:szCs w:val="19"/>
              </w:rPr>
              <w:t xml:space="preserve">Decisión</w:t>
            </w:r>
          </w:p>
        </w:tc>
        <w:tc>
          <w:tcPr>
            <w:tcW w:type="dxa" w:w="1500"/>
            <w:shd w:fill="004AAD" w:val="clear"/>
          </w:tcPr>
          <w:p>
            <w:pPr>
              <w:jc w:val="center"/>
            </w:pPr>
            <w:r>
              <w:rPr>
                <w:b/>
                <w:bCs/>
                <w:color w:val="FFFFFF"/>
                <w:sz w:val="19"/>
                <w:szCs w:val="19"/>
              </w:rPr>
              <w:t xml:space="preserve">¿Se cumple?</w:t>
            </w:r>
          </w:p>
        </w:tc>
      </w:tr>
      <w:tr>
        <w:tc>
          <w:tcPr>
            <w:tcW w:type="dxa" w:w="900"/>
            <w:shd w:fill="E8F0FE" w:val="clear"/>
          </w:tcPr>
          <w:p>
            <w:pPr>
              <w:jc w:val="center"/>
            </w:pPr>
            <w:r>
              <w:rPr>
                <w:b/>
                <w:bCs/>
                <w:color w:val="000000"/>
                <w:sz w:val="18"/>
                <w:szCs w:val="18"/>
              </w:rPr>
              <w:t xml:space="preserve">1</w:t>
            </w:r>
          </w:p>
        </w:tc>
        <w:tc>
          <w:tcPr>
            <w:tcW w:type="dxa" w:w="4300"/>
            <w:shd w:fill="E8F0FE" w:val="clear"/>
          </w:tcPr>
          <w:p>
            <w:pPr>
              <w:jc w:val="left"/>
            </w:pPr>
            <w:r>
              <w:rPr>
                <w:b w:val="false"/>
                <w:bCs w:val="false"/>
                <w:color w:val="000000"/>
                <w:sz w:val="18"/>
                <w:szCs w:val="18"/>
              </w:rPr>
              <w:t xml:space="preserve">Nivel de logro 2 o superior en los descriptores operativos del Perfil competencial del ciclo (conversión del centro: 1 Insuficiente · 2 Suficiente o Bien · 3 Notable · 4 Sobresaliente).</w:t>
            </w:r>
          </w:p>
        </w:tc>
        <w:tc>
          <w:tcPr>
            <w:tcW w:type="dxa" w:w="3300"/>
            <w:shd w:fill="E8F0FE" w:val="clear"/>
          </w:tcPr>
          <w:p>
            <w:pPr>
              <w:jc w:val="left"/>
            </w:pPr>
            <w:r>
              <w:rPr>
                <w:b/>
                <w:bCs/>
                <w:color w:val="000000"/>
                <w:sz w:val="18"/>
                <w:szCs w:val="18"/>
              </w:rPr>
              <w:t xml:space="preserve">PROMOCIONA.</w:t>
            </w:r>
          </w:p>
        </w:tc>
        <w:tc>
          <w:tcPr>
            <w:tcW w:type="dxa" w:w="1500"/>
            <w:shd w:fill="E8F0FE" w:val="clear"/>
          </w:tcPr>
          <w:p>
            <w:pPr>
              <w:jc w:val="center"/>
            </w:pPr>
            <w:r>
              <w:rPr>
                <w:b w:val="false"/>
                <w:bCs w:val="false"/>
                <w:color w:val="000000"/>
                <w:sz w:val="18"/>
                <w:szCs w:val="18"/>
              </w:rPr>
              <w:t xml:space="preserve">SÍ ☐   NO ☐</w:t>
            </w:r>
          </w:p>
        </w:tc>
      </w:tr>
      <w:tr>
        <w:tc>
          <w:tcPr>
            <w:tcW w:type="dxa" w:w="900"/>
            <w:shd w:fill="FFFFFF" w:val="clear"/>
          </w:tcPr>
          <w:p>
            <w:pPr>
              <w:jc w:val="center"/>
            </w:pPr>
            <w:r>
              <w:rPr>
                <w:b/>
                <w:bCs/>
                <w:color w:val="000000"/>
                <w:sz w:val="18"/>
                <w:szCs w:val="18"/>
              </w:rPr>
              <w:t xml:space="preserve">2</w:t>
            </w:r>
          </w:p>
        </w:tc>
        <w:tc>
          <w:tcPr>
            <w:tcW w:type="dxa" w:w="4300"/>
            <w:shd w:fill="FFFFFF" w:val="clear"/>
          </w:tcPr>
          <w:p>
            <w:pPr>
              <w:jc w:val="left"/>
            </w:pPr>
            <w:r>
              <w:rPr>
                <w:b w:val="false"/>
                <w:bCs w:val="false"/>
                <w:color w:val="000000"/>
                <w:sz w:val="18"/>
                <w:szCs w:val="18"/>
              </w:rPr>
              <w:t xml:space="preserve">Si no alcanza el Paso 1, comprobación conjunta de las dos condiciones del artículo 16.2 de la Orden de 30 de mayo de 2023: (a) evolución positiva en las actividades de evaluación propuestas y (b) participación con implicación, atención y esfuerzo tras aplicar las medidas de atención a la diversidad.</w:t>
            </w:r>
          </w:p>
        </w:tc>
        <w:tc>
          <w:tcPr>
            <w:tcW w:type="dxa" w:w="3300"/>
            <w:shd w:fill="FFFFFF" w:val="clear"/>
          </w:tcPr>
          <w:p>
            <w:pPr>
              <w:jc w:val="left"/>
            </w:pPr>
            <w:r>
              <w:rPr>
                <w:b/>
                <w:bCs/>
                <w:color w:val="000000"/>
                <w:sz w:val="18"/>
                <w:szCs w:val="18"/>
              </w:rPr>
              <w:t xml:space="preserve">PROMOCIONA con programa de refuerzo del aprendizaje, revisado al menos al finalizar cada trimestre.</w:t>
            </w:r>
          </w:p>
        </w:tc>
        <w:tc>
          <w:tcPr>
            <w:tcW w:type="dxa" w:w="1500"/>
            <w:shd w:fill="FFFFFF" w:val="clear"/>
          </w:tcPr>
          <w:p>
            <w:pPr>
              <w:jc w:val="center"/>
            </w:pPr>
            <w:r>
              <w:rPr>
                <w:b w:val="false"/>
                <w:bCs w:val="false"/>
                <w:color w:val="000000"/>
                <w:sz w:val="18"/>
                <w:szCs w:val="18"/>
              </w:rPr>
              <w:t xml:space="preserve">a) SÍ ☐ NO ☐   b) SÍ ☐ NO ☐</w:t>
            </w:r>
          </w:p>
        </w:tc>
      </w:tr>
      <w:tr>
        <w:tc>
          <w:tcPr>
            <w:tcW w:type="dxa" w:w="900"/>
            <w:shd w:fill="F5F7FA" w:val="clear"/>
          </w:tcPr>
          <w:p>
            <w:pPr>
              <w:jc w:val="center"/>
            </w:pPr>
            <w:r>
              <w:rPr>
                <w:b/>
                <w:bCs/>
                <w:color w:val="000000"/>
                <w:sz w:val="18"/>
                <w:szCs w:val="18"/>
              </w:rPr>
              <w:t xml:space="preserve">3</w:t>
            </w:r>
          </w:p>
        </w:tc>
        <w:tc>
          <w:tcPr>
            <w:tcW w:type="dxa" w:w="4300"/>
            <w:shd w:fill="F5F7FA" w:val="clear"/>
          </w:tcPr>
          <w:p>
            <w:pPr>
              <w:jc w:val="left"/>
            </w:pPr>
            <w:r>
              <w:rPr>
                <w:b w:val="false"/>
                <w:bCs w:val="false"/>
                <w:color w:val="000000"/>
                <w:sz w:val="18"/>
                <w:szCs w:val="18"/>
              </w:rPr>
              <w:t xml:space="preserve">Solo si no se cumplen las condiciones anteriores y se han agotado el resto de medidas de atención a la diversidad.</w:t>
            </w:r>
          </w:p>
        </w:tc>
        <w:tc>
          <w:tcPr>
            <w:tcW w:type="dxa" w:w="3300"/>
            <w:shd w:fill="F5F7FA" w:val="clear"/>
          </w:tcPr>
          <w:p>
            <w:pPr>
              <w:jc w:val="left"/>
            </w:pPr>
            <w:r>
              <w:rPr>
                <w:b/>
                <w:bCs/>
                <w:color w:val="000000"/>
                <w:sz w:val="18"/>
                <w:szCs w:val="18"/>
              </w:rPr>
              <w:t xml:space="preserve">PERMANENCIA UN AÑO MÁS (medida excepcional, una sola vez en la etapa), siempre con programa de refuerzo del aprendizaje sobre las competencias específicas de las áreas no desarrolladas.</w:t>
            </w:r>
          </w:p>
        </w:tc>
        <w:tc>
          <w:tcPr>
            <w:tcW w:type="dxa" w:w="1500"/>
            <w:shd w:fill="F5F7FA" w:val="clear"/>
          </w:tcPr>
          <w:p>
            <w:pPr>
              <w:jc w:val="center"/>
            </w:pPr>
            <w:r>
              <w:rPr>
                <w:b w:val="false"/>
                <w:bCs w:val="false"/>
                <w:color w:val="000000"/>
                <w:sz w:val="18"/>
                <w:szCs w:val="18"/>
              </w:rPr>
              <w:t xml:space="preserve">SÍ ☐   NO ☐</w:t>
            </w:r>
          </w:p>
        </w:tc>
      </w:tr>
    </w:tbl>
    <w:p>
      <w:pPr>
        <w:spacing w:after="120"/>
      </w:pPr>
    </w:p>
    <w:p>
      <w:pPr>
        <w:pStyle w:val="Heading2"/>
        <w:spacing w:after="120" w:before="200"/>
      </w:pPr>
      <w:r>
        <w:rPr>
          <w:b/>
          <w:bCs/>
          <w:color w:val="004AAD"/>
          <w:sz w:val="23"/>
          <w:szCs w:val="23"/>
        </w:rPr>
        <w:t xml:space="preserve">3. Registro del nivel de logro competencial</w:t>
      </w:r>
    </w:p>
    <w:p>
      <w:pPr>
        <w:spacing w:after="160"/>
      </w:pPr>
      <w:r>
        <w:rPr>
          <w:i/>
          <w:iCs/>
          <w:color w:val="555555"/>
          <w:sz w:val="18"/>
          <w:szCs w:val="18"/>
        </w:rPr>
        <w:t xml:space="preserve">Nivel de logro alcanzado en cada competencia clave al término del ciclo, según los descriptores operativos del Perfil competencial. Promociona por el Paso 1 quien alcanza nivel 2 o superior en el conjunto de descriptores.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200"/>
        <w:gridCol w:w="5600"/>
        <w:gridCol w:w="800"/>
        <w:gridCol w:w="800"/>
        <w:gridCol w:w="800"/>
        <w:gridCol w:w="800"/>
      </w:tblGrid>
      <w:tr>
        <w:trPr>
          <w:tblHeader/>
        </w:trPr>
        <w:tc>
          <w:tcPr>
            <w:tcW w:type="dxa" w:w="1200"/>
            <w:shd w:fill="004AAD" w:val="clear"/>
          </w:tcPr>
          <w:p>
            <w:pPr>
              <w:jc w:val="left"/>
            </w:pPr>
            <w:r>
              <w:rPr>
                <w:b/>
                <w:bCs/>
                <w:color w:val="FFFFFF"/>
                <w:sz w:val="19"/>
                <w:szCs w:val="19"/>
              </w:rPr>
              <w:t xml:space="preserve">Clave</w:t>
            </w:r>
          </w:p>
        </w:tc>
        <w:tc>
          <w:tcPr>
            <w:tcW w:type="dxa" w:w="5600"/>
            <w:shd w:fill="004AAD" w:val="clear"/>
          </w:tcPr>
          <w:p>
            <w:pPr>
              <w:jc w:val="left"/>
            </w:pPr>
            <w:r>
              <w:rPr>
                <w:b/>
                <w:bCs/>
                <w:color w:val="FFFFFF"/>
                <w:sz w:val="19"/>
                <w:szCs w:val="19"/>
              </w:rPr>
              <w:t xml:space="preserve">Competencia clave (descriptores operativos del Perfil competencial del ciclo)</w:t>
            </w:r>
          </w:p>
        </w:tc>
        <w:tc>
          <w:tcPr>
            <w:tcW w:type="dxa" w:w="800"/>
            <w:shd w:fill="004AAD" w:val="clear"/>
          </w:tcPr>
          <w:p>
            <w:pPr>
              <w:jc w:val="center"/>
            </w:pPr>
            <w:r>
              <w:rPr>
                <w:b/>
                <w:bCs/>
                <w:color w:val="FFFFFF"/>
                <w:sz w:val="19"/>
                <w:szCs w:val="19"/>
              </w:rPr>
              <w:t xml:space="preserve">1</w:t>
            </w:r>
          </w:p>
        </w:tc>
        <w:tc>
          <w:tcPr>
            <w:tcW w:type="dxa" w:w="800"/>
            <w:shd w:fill="004AAD" w:val="clear"/>
          </w:tcPr>
          <w:p>
            <w:pPr>
              <w:jc w:val="center"/>
            </w:pPr>
            <w:r>
              <w:rPr>
                <w:b/>
                <w:bCs/>
                <w:color w:val="FFFFFF"/>
                <w:sz w:val="19"/>
                <w:szCs w:val="19"/>
              </w:rPr>
              <w:t xml:space="preserve">2</w:t>
            </w:r>
          </w:p>
        </w:tc>
        <w:tc>
          <w:tcPr>
            <w:tcW w:type="dxa" w:w="800"/>
            <w:shd w:fill="004AAD" w:val="clear"/>
          </w:tcPr>
          <w:p>
            <w:pPr>
              <w:jc w:val="center"/>
            </w:pPr>
            <w:r>
              <w:rPr>
                <w:b/>
                <w:bCs/>
                <w:color w:val="FFFFFF"/>
                <w:sz w:val="19"/>
                <w:szCs w:val="19"/>
              </w:rPr>
              <w:t xml:space="preserve">3</w:t>
            </w:r>
          </w:p>
        </w:tc>
        <w:tc>
          <w:tcPr>
            <w:tcW w:type="dxa" w:w="800"/>
            <w:shd w:fill="004AAD" w:val="clear"/>
          </w:tcPr>
          <w:p>
            <w:pPr>
              <w:jc w:val="center"/>
            </w:pPr>
            <w:r>
              <w:rPr>
                <w:b/>
                <w:bCs/>
                <w:color w:val="FFFFFF"/>
                <w:sz w:val="19"/>
                <w:szCs w:val="19"/>
              </w:rPr>
              <w:t xml:space="preserve">4</w:t>
            </w:r>
          </w:p>
        </w:tc>
      </w:tr>
      <w:tr>
        <w:tc>
          <w:tcPr>
            <w:tcW w:type="dxa" w:w="1200"/>
            <w:shd w:fill="FFFFFF" w:val="clear"/>
          </w:tcPr>
          <w:p>
            <w:pPr>
              <w:jc w:val="left"/>
            </w:pPr>
            <w:r>
              <w:rPr>
                <w:b/>
                <w:bCs/>
                <w:color w:val="000000"/>
                <w:sz w:val="18"/>
                <w:szCs w:val="18"/>
              </w:rPr>
              <w:t xml:space="preserve">CCL</w:t>
            </w:r>
          </w:p>
        </w:tc>
        <w:tc>
          <w:tcPr>
            <w:tcW w:type="dxa" w:w="5600"/>
            <w:shd w:fill="FFFFFF" w:val="clear"/>
          </w:tcPr>
          <w:p>
            <w:pPr>
              <w:jc w:val="left"/>
            </w:pPr>
            <w:r>
              <w:rPr>
                <w:b w:val="false"/>
                <w:bCs w:val="false"/>
                <w:color w:val="000000"/>
                <w:sz w:val="18"/>
                <w:szCs w:val="18"/>
              </w:rPr>
              <w:t xml:space="preserve">Competencia en comunicación lingüística</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CP</w:t>
            </w:r>
          </w:p>
        </w:tc>
        <w:tc>
          <w:tcPr>
            <w:tcW w:type="dxa" w:w="5600"/>
            <w:shd w:fill="F5F7FA" w:val="clear"/>
          </w:tcPr>
          <w:p>
            <w:pPr>
              <w:jc w:val="left"/>
            </w:pPr>
            <w:r>
              <w:rPr>
                <w:b w:val="false"/>
                <w:bCs w:val="false"/>
                <w:color w:val="000000"/>
                <w:sz w:val="18"/>
                <w:szCs w:val="18"/>
              </w:rPr>
              <w:t xml:space="preserve">Competencia plurilingüe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r>
        <w:tc>
          <w:tcPr>
            <w:tcW w:type="dxa" w:w="1200"/>
            <w:shd w:fill="FFFFFF" w:val="clear"/>
          </w:tcPr>
          <w:p>
            <w:pPr>
              <w:jc w:val="left"/>
            </w:pPr>
            <w:r>
              <w:rPr>
                <w:b/>
                <w:bCs/>
                <w:color w:val="000000"/>
                <w:sz w:val="18"/>
                <w:szCs w:val="18"/>
              </w:rPr>
              <w:t xml:space="preserve">STEM</w:t>
            </w:r>
          </w:p>
        </w:tc>
        <w:tc>
          <w:tcPr>
            <w:tcW w:type="dxa" w:w="5600"/>
            <w:shd w:fill="FFFFFF" w:val="clear"/>
          </w:tcPr>
          <w:p>
            <w:pPr>
              <w:jc w:val="left"/>
            </w:pPr>
            <w:r>
              <w:rPr>
                <w:b w:val="false"/>
                <w:bCs w:val="false"/>
                <w:color w:val="000000"/>
                <w:sz w:val="18"/>
                <w:szCs w:val="18"/>
              </w:rPr>
              <w:t xml:space="preserve">Competencia matemática y en ciencia, tecnología e ingeniería</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CD</w:t>
            </w:r>
          </w:p>
        </w:tc>
        <w:tc>
          <w:tcPr>
            <w:tcW w:type="dxa" w:w="5600"/>
            <w:shd w:fill="F5F7FA" w:val="clear"/>
          </w:tcPr>
          <w:p>
            <w:pPr>
              <w:jc w:val="left"/>
            </w:pPr>
            <w:r>
              <w:rPr>
                <w:b w:val="false"/>
                <w:bCs w:val="false"/>
                <w:color w:val="000000"/>
                <w:sz w:val="18"/>
                <w:szCs w:val="18"/>
              </w:rPr>
              <w:t xml:space="preserve">Competencia digital</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r>
        <w:tc>
          <w:tcPr>
            <w:tcW w:type="dxa" w:w="1200"/>
            <w:shd w:fill="FFFFFF" w:val="clear"/>
          </w:tcPr>
          <w:p>
            <w:pPr>
              <w:jc w:val="left"/>
            </w:pPr>
            <w:r>
              <w:rPr>
                <w:b/>
                <w:bCs/>
                <w:color w:val="000000"/>
                <w:sz w:val="18"/>
                <w:szCs w:val="18"/>
              </w:rPr>
              <w:t xml:space="preserve">CPSAA</w:t>
            </w:r>
          </w:p>
        </w:tc>
        <w:tc>
          <w:tcPr>
            <w:tcW w:type="dxa" w:w="5600"/>
            <w:shd w:fill="FFFFFF" w:val="clear"/>
          </w:tcPr>
          <w:p>
            <w:pPr>
              <w:jc w:val="left"/>
            </w:pPr>
            <w:r>
              <w:rPr>
                <w:b w:val="false"/>
                <w:bCs w:val="false"/>
                <w:color w:val="000000"/>
                <w:sz w:val="18"/>
                <w:szCs w:val="18"/>
              </w:rPr>
              <w:t xml:space="preserve">Competencia personal, social y de aprender a aprender</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CC</w:t>
            </w:r>
          </w:p>
        </w:tc>
        <w:tc>
          <w:tcPr>
            <w:tcW w:type="dxa" w:w="5600"/>
            <w:shd w:fill="F5F7FA" w:val="clear"/>
          </w:tcPr>
          <w:p>
            <w:pPr>
              <w:jc w:val="left"/>
            </w:pPr>
            <w:r>
              <w:rPr>
                <w:b w:val="false"/>
                <w:bCs w:val="false"/>
                <w:color w:val="000000"/>
                <w:sz w:val="18"/>
                <w:szCs w:val="18"/>
              </w:rPr>
              <w:t xml:space="preserve">Competencia ciudadana</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r>
        <w:tc>
          <w:tcPr>
            <w:tcW w:type="dxa" w:w="1200"/>
            <w:shd w:fill="FFFFFF" w:val="clear"/>
          </w:tcPr>
          <w:p>
            <w:pPr>
              <w:jc w:val="left"/>
            </w:pPr>
            <w:r>
              <w:rPr>
                <w:b/>
                <w:bCs/>
                <w:color w:val="000000"/>
                <w:sz w:val="18"/>
                <w:szCs w:val="18"/>
              </w:rPr>
              <w:t xml:space="preserve">CE</w:t>
            </w:r>
          </w:p>
        </w:tc>
        <w:tc>
          <w:tcPr>
            <w:tcW w:type="dxa" w:w="5600"/>
            <w:shd w:fill="FFFFFF" w:val="clear"/>
          </w:tcPr>
          <w:p>
            <w:pPr>
              <w:jc w:val="left"/>
            </w:pPr>
            <w:r>
              <w:rPr>
                <w:b w:val="false"/>
                <w:bCs w:val="false"/>
                <w:color w:val="000000"/>
                <w:sz w:val="18"/>
                <w:szCs w:val="18"/>
              </w:rPr>
              <w:t xml:space="preserve">Competencia emprendedora</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c>
          <w:tcPr>
            <w:tcW w:type="dxa" w:w="800"/>
            <w:shd w:fill="FFFFFF" w:val="clear"/>
          </w:tcPr>
          <w:p>
            <w:pPr>
              <w:jc w:val="center"/>
            </w:pPr>
            <w:r>
              <w:rPr>
                <w:b w:val="false"/>
                <w:bCs w:val="false"/>
                <w:color w:val="000000"/>
                <w:sz w:val="18"/>
                <w:szCs w:val="18"/>
              </w:rPr>
              <w:t xml:space="preserve">☐</w:t>
            </w:r>
          </w:p>
        </w:tc>
      </w:tr>
      <w:tr>
        <w:tc>
          <w:tcPr>
            <w:tcW w:type="dxa" w:w="1200"/>
            <w:shd w:fill="F5F7FA" w:val="clear"/>
          </w:tcPr>
          <w:p>
            <w:pPr>
              <w:jc w:val="left"/>
            </w:pPr>
            <w:r>
              <w:rPr>
                <w:b/>
                <w:bCs/>
                <w:color w:val="000000"/>
                <w:sz w:val="18"/>
                <w:szCs w:val="18"/>
              </w:rPr>
              <w:t xml:space="preserve">CCEC</w:t>
            </w:r>
          </w:p>
        </w:tc>
        <w:tc>
          <w:tcPr>
            <w:tcW w:type="dxa" w:w="5600"/>
            <w:shd w:fill="F5F7FA" w:val="clear"/>
          </w:tcPr>
          <w:p>
            <w:pPr>
              <w:jc w:val="left"/>
            </w:pPr>
            <w:r>
              <w:rPr>
                <w:b w:val="false"/>
                <w:bCs w:val="false"/>
                <w:color w:val="000000"/>
                <w:sz w:val="18"/>
                <w:szCs w:val="18"/>
              </w:rPr>
              <w:t xml:space="preserve">Competencia en conciencia y expresión culturales</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c>
          <w:tcPr>
            <w:tcW w:type="dxa" w:w="800"/>
            <w:shd w:fill="F5F7FA" w:val="clear"/>
          </w:tcPr>
          <w:p>
            <w:pPr>
              <w:jc w:val="center"/>
            </w:pPr>
            <w:r>
              <w:rPr>
                <w:b w:val="false"/>
                <w:bCs w:val="false"/>
                <w:color w:val="000000"/>
                <w:sz w:val="18"/>
                <w:szCs w:val="18"/>
              </w:rPr>
              <w:t xml:space="preserve">☐</w:t>
            </w:r>
          </w:p>
        </w:tc>
      </w:tr>
    </w:tbl>
    <w:p>
      <w:pPr>
        <w:spacing w:after="120"/>
      </w:pPr>
    </w:p>
    <w:p>
      <w:pPr>
        <w:pStyle w:val="Heading2"/>
        <w:spacing w:after="120" w:before="200"/>
      </w:pPr>
      <w:r>
        <w:rPr>
          <w:b/>
          <w:bCs/>
          <w:color w:val="004AAD"/>
          <w:sz w:val="23"/>
          <w:szCs w:val="23"/>
        </w:rPr>
        <w:t xml:space="preserve">4. Garantías del procedimiento</w:t>
      </w:r>
    </w:p>
    <w:p>
      <w:pPr>
        <w:pStyle w:val="ListParagraph"/>
        <w:numPr>
          <w:ilvl w:val="0"/>
          <w:numId w:val="2"/>
        </w:numPr>
        <w:spacing w:after="80"/>
      </w:pPr>
      <w:r>
        <w:rPr>
          <w:sz w:val="20"/>
          <w:szCs w:val="20"/>
        </w:rPr>
        <w:t xml:space="preserve">Audiencia a la familia: antes de adoptar la decisión, el tutor o tutora oye a los padres, madres o personas que ejerzan la tutela legal en una entrevista celebrada durante el mes de junio, de la que se deja constancia escrita.</w:t>
      </w:r>
    </w:p>
    <w:p>
      <w:pPr>
        <w:pStyle w:val="ListParagraph"/>
        <w:numPr>
          <w:ilvl w:val="0"/>
          <w:numId w:val="2"/>
        </w:numPr>
        <w:spacing w:after="80"/>
      </w:pPr>
      <w:r>
        <w:rPr>
          <w:sz w:val="20"/>
          <w:szCs w:val="20"/>
        </w:rPr>
        <w:t xml:space="preserve">Quien promociona sin haber superado todas las áreas sigue un programa de refuerzo del aprendizaje (individual por área o integrado en un único programa, según decida el equipo docente), con los elementos curriculares necesarios para ser evaluable; su aplicación y evaluación corresponden preferentemente a la persona que ejerce la tutoría, y el equipo docente lo revisa al menos al finalizar cada trimestre y, en todo caso, al finalizar el curso.</w:t>
      </w:r>
    </w:p>
    <w:p>
      <w:pPr>
        <w:pStyle w:val="ListParagraph"/>
        <w:numPr>
          <w:ilvl w:val="0"/>
          <w:numId w:val="2"/>
        </w:numPr>
        <w:spacing w:after="80"/>
      </w:pPr>
      <w:r>
        <w:rPr>
          <w:sz w:val="20"/>
          <w:szCs w:val="20"/>
        </w:rPr>
        <w:t xml:space="preserve">Ninguna decisión se apoya exclusivamente en una prueba escrita: se combinan observación sistemática, producciones del alumnado, exposiciones orales, trabajo cooperativo, portfolios y rúbricas.</w:t>
      </w:r>
    </w:p>
    <w:p>
      <w:pPr>
        <w:pStyle w:val="ListParagraph"/>
        <w:numPr>
          <w:ilvl w:val="0"/>
          <w:numId w:val="2"/>
        </w:numPr>
        <w:spacing w:after="80"/>
      </w:pPr>
      <w:r>
        <w:rPr>
          <w:sz w:val="20"/>
          <w:szCs w:val="20"/>
        </w:rPr>
        <w:t xml:space="preserve">Aclaración y revisión: la familia puede solicitar aclaraciones sobre la decisión de promoción al tutor o tutora y, en su caso, iniciar el procedimiento de revisión previsto en el apartado E.9 del Proyecto Educativo (artículos 24 y 25 de la Orden de 30 de mayo de 2023).</w:t>
      </w:r>
    </w:p>
    <w:p>
      <w:pPr>
        <w:pStyle w:val="Heading2"/>
        <w:spacing w:after="120" w:before="200"/>
      </w:pPr>
      <w:r>
        <w:rPr>
          <w:b/>
          <w:bCs/>
          <w:color w:val="004AAD"/>
          <w:sz w:val="23"/>
          <w:szCs w:val="23"/>
        </w:rPr>
        <w:t xml:space="preserve">5. Particularidades del final de etapa</w:t>
      </w:r>
    </w:p>
    <w:p>
      <w:pPr>
        <w:pStyle w:val="ListParagraph"/>
        <w:numPr>
          <w:ilvl w:val="0"/>
          <w:numId w:val="2"/>
        </w:numPr>
        <w:spacing w:after="80"/>
      </w:pPr>
      <w:r>
        <w:rPr>
          <w:sz w:val="20"/>
          <w:szCs w:val="20"/>
        </w:rPr>
        <w:t xml:space="preserve">La referencia del Paso 1 en este ciclo es el Perfil de salida del alumnado al término de la Educación Primaria.</w:t>
      </w:r>
    </w:p>
    <w:p>
      <w:pPr>
        <w:pStyle w:val="ListParagraph"/>
        <w:numPr>
          <w:ilvl w:val="0"/>
          <w:numId w:val="2"/>
        </w:numPr>
        <w:spacing w:after="80"/>
      </w:pPr>
      <w:r>
        <w:rPr>
          <w:sz w:val="20"/>
          <w:szCs w:val="20"/>
        </w:rPr>
        <w:t xml:space="preserve">La permanencia un año más solo puede valorarse si no se ha aplicado ya en la etapa (medida excepcional, una única vez en toda la Primaria).</w:t>
      </w:r>
    </w:p>
    <w:p>
      <w:pPr>
        <w:pStyle w:val="ListParagraph"/>
        <w:numPr>
          <w:ilvl w:val="0"/>
          <w:numId w:val="2"/>
        </w:numPr>
        <w:spacing w:after="80"/>
      </w:pPr>
      <w:r>
        <w:rPr>
          <w:sz w:val="20"/>
          <w:szCs w:val="20"/>
        </w:rPr>
        <w:t xml:space="preserve">Se cumplimenta el Informe final de etapa, que se traslada al centro de Educación Secundaria en el marco del programa de tránsito, junto con el historial académico.</w:t>
      </w:r>
    </w:p>
    <w:p>
      <w:pPr>
        <w:pStyle w:val="ListParagraph"/>
        <w:numPr>
          <w:ilvl w:val="0"/>
          <w:numId w:val="2"/>
        </w:numPr>
        <w:spacing w:after="80"/>
      </w:pPr>
      <w:r>
        <w:rPr>
          <w:sz w:val="20"/>
          <w:szCs w:val="20"/>
        </w:rPr>
        <w:t xml:space="preserve">Mención Honorífica por área: la propone el maestro o maestra del área en la sesión de evaluación ordinaria de sexto, se acuerda por el equipo docente y se hace constar en el Informe final de etapa, en el expediente y en el historial académico.</w:t>
      </w:r>
    </w:p>
    <w:sectPr>
      <w:footerReference w:type="default" r:id="rId7"/>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Criterios de promoción (2.º, 4.º y 6.º) · CEIP Capitulaciones de Santa Fe · Pág.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2026-08-09T07:54:53.010Z</dcterms:created>
  <dcterms:modified xsi:type="dcterms:W3CDTF">2026-08-09T07:54:53.025Z</dcterms:modified>
</cp:coreProperties>
</file>

<file path=docProps/custom.xml><?xml version="1.0" encoding="utf-8"?>
<Properties xmlns="http://schemas.openxmlformats.org/officeDocument/2006/custom-properties" xmlns:vt="http://schemas.openxmlformats.org/officeDocument/2006/docPropsVTypes"/>
</file>